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Short-term plan, Grade 8</w:t>
      </w:r>
    </w:p>
    <w:p>
      <w:r>
        <w:t>Unit 3: Entertainment and the Media. Past habits. Speaking. Word formation</w:t>
      </w:r>
    </w:p>
    <w:p>
      <w:r>
        <w:t>Teacher: Albina Kassenova                         Date: November 14, 2023</w:t>
      </w:r>
    </w:p>
    <w:p>
      <w:r>
        <w:t>Learning objectives: 8.4.5.1 determine meaning from context in short and some long texts; 8.5.3.1 write with moderate grammatical accuracy on familiar topics.</w:t>
      </w:r>
    </w:p>
    <w:p>
      <w:r>
        <w:t>Lesson objective: Students will be able to identify the meaning and form of used to and produce affirmative, negative and question forms to describe past habits and states.</w:t>
      </w:r>
    </w:p>
    <w:tbl>
      <w:tblPr>
        <w:tblStyle w:val="TableGrid"/>
        <w:tblW w:type="auto" w:w="0"/>
        <w:jc w:val="center"/>
        <w:tblLook w:firstColumn="1" w:firstRow="1" w:lastColumn="0" w:lastRow="0" w:noHBand="0" w:noVBand="1" w:val="04A0"/>
      </w:tblPr>
      <w:tblGrid>
        <w:gridCol w:w="1080"/>
        <w:gridCol w:w="8784"/>
        <w:gridCol w:w="4896"/>
      </w:tblGrid>
      <w:tr>
        <w:tc>
          <w:tcPr>
            <w:tcW w:type="dxa" w:w="4987"/>
          </w:tcPr>
          <w:p>
            <w:pPr>
              <w:spacing w:after="20"/>
            </w:pPr>
            <w:r>
              <w:rPr>
                <w:sz w:val="18"/>
              </w:rPr>
              <w:t>Timing</w:t>
            </w:r>
          </w:p>
        </w:tc>
        <w:tc>
          <w:tcPr>
            <w:tcW w:type="dxa" w:w="4987"/>
          </w:tcPr>
          <w:p>
            <w:pPr>
              <w:spacing w:after="20"/>
            </w:pPr>
            <w:r>
              <w:rPr>
                <w:sz w:val="18"/>
              </w:rPr>
              <w:t>Teacher’s actions</w:t>
            </w:r>
          </w:p>
        </w:tc>
        <w:tc>
          <w:tcPr>
            <w:tcW w:type="dxa" w:w="4987"/>
          </w:tcPr>
          <w:p>
            <w:pPr>
              <w:spacing w:after="20"/>
            </w:pPr>
            <w:r>
              <w:rPr>
                <w:sz w:val="18"/>
              </w:rPr>
              <w:t>Students’ actions</w:t>
            </w:r>
          </w:p>
        </w:tc>
      </w:tr>
      <w:tr>
        <w:tc>
          <w:tcPr>
            <w:tcW w:type="dxa" w:w="4987"/>
            <w:vAlign w:val="top"/>
          </w:tcPr>
          <w:p>
            <w:pPr>
              <w:spacing w:after="20"/>
            </w:pPr>
            <w:r>
              <w:rPr>
                <w:sz w:val="18"/>
              </w:rPr>
              <w:t>0–5</w:t>
            </w:r>
          </w:p>
        </w:tc>
        <w:tc>
          <w:tcPr>
            <w:tcW w:type="dxa" w:w="4987"/>
            <w:vAlign w:val="top"/>
          </w:tcPr>
          <w:p>
            <w:pPr>
              <w:spacing w:after="20"/>
            </w:pPr>
            <w:r>
              <w:rPr>
                <w:sz w:val="18"/>
              </w:rPr>
              <w:t>Lesson hook. Display a recent photo of Billie Eilish. Ask: “Who is she?”, “How would you describe her appearance?”, “What do you know about her?” Show an older photo and ask: “What has changed?” Do not introduce the grammar rule yet.</w:t>
            </w:r>
          </w:p>
        </w:tc>
        <w:tc>
          <w:tcPr>
            <w:tcW w:type="dxa" w:w="4987"/>
            <w:vAlign w:val="top"/>
          </w:tcPr>
          <w:p>
            <w:pPr>
              <w:spacing w:after="20"/>
            </w:pPr>
            <w:r>
              <w:rPr>
                <w:sz w:val="18"/>
              </w:rPr>
              <w:t>Identify the singer, describe the photos and share observations about changes in her hairstyle and appearance.</w:t>
            </w:r>
          </w:p>
        </w:tc>
      </w:tr>
      <w:tr>
        <w:tc>
          <w:tcPr>
            <w:tcW w:type="dxa" w:w="4987"/>
            <w:vAlign w:val="top"/>
          </w:tcPr>
          <w:p>
            <w:pPr>
              <w:spacing w:after="20"/>
            </w:pPr>
            <w:r>
              <w:rPr>
                <w:sz w:val="18"/>
              </w:rPr>
              <w:t>5–10</w:t>
            </w:r>
          </w:p>
        </w:tc>
        <w:tc>
          <w:tcPr>
            <w:tcW w:type="dxa" w:w="4987"/>
            <w:vAlign w:val="top"/>
          </w:tcPr>
          <w:p>
            <w:pPr>
              <w:spacing w:after="20"/>
            </w:pPr>
            <w:r>
              <w:rPr>
                <w:sz w:val="18"/>
              </w:rPr>
              <w:t>Context and exposure. Display two or three dated photos and a short set of sentences: “She used to have green hair.” “She used to wear different styles.” “She doesn’t have green hair now.” Ask students to match sentences to photos and decide which refer to the past and which to the present.</w:t>
            </w:r>
          </w:p>
        </w:tc>
        <w:tc>
          <w:tcPr>
            <w:tcW w:type="dxa" w:w="4987"/>
            <w:vAlign w:val="top"/>
          </w:tcPr>
          <w:p>
            <w:pPr>
              <w:spacing w:after="20"/>
            </w:pPr>
            <w:r>
              <w:rPr>
                <w:sz w:val="18"/>
              </w:rPr>
              <w:t>Match sentences with photographs, compare past and present, and underline the repeated expression used to.</w:t>
            </w:r>
          </w:p>
        </w:tc>
      </w:tr>
      <w:tr>
        <w:tc>
          <w:tcPr>
            <w:tcW w:type="dxa" w:w="4987"/>
            <w:vAlign w:val="top"/>
          </w:tcPr>
          <w:p>
            <w:pPr>
              <w:spacing w:after="20"/>
            </w:pPr>
            <w:r>
              <w:rPr>
                <w:sz w:val="18"/>
              </w:rPr>
              <w:t>10–17</w:t>
            </w:r>
          </w:p>
        </w:tc>
        <w:tc>
          <w:tcPr>
            <w:tcW w:type="dxa" w:w="4987"/>
            <w:vAlign w:val="top"/>
          </w:tcPr>
          <w:p>
            <w:pPr>
              <w:spacing w:after="20"/>
            </w:pPr>
            <w:r>
              <w:rPr>
                <w:sz w:val="18"/>
              </w:rPr>
              <w:t>Guided discovery: meaning. In pairs, ask students to discuss: “Did she have green hair in the past?”, “Does she have it now?”, “Is this sentence about a past situation or a present one?”, “Can we use used to for something that was true in the past but is no longer true?” Invite explanations before confirming the meaning.</w:t>
            </w:r>
          </w:p>
        </w:tc>
        <w:tc>
          <w:tcPr>
            <w:tcW w:type="dxa" w:w="4987"/>
            <w:vAlign w:val="top"/>
          </w:tcPr>
          <w:p>
            <w:pPr>
              <w:spacing w:after="20"/>
            </w:pPr>
            <w:r>
              <w:rPr>
                <w:sz w:val="18"/>
              </w:rPr>
              <w:t>Discuss examples and infer that used to describes past habits or states that are no longer true (or no longer usual). Explain their conclusions in their own words.</w:t>
            </w:r>
          </w:p>
        </w:tc>
      </w:tr>
      <w:tr>
        <w:tc>
          <w:tcPr>
            <w:tcW w:type="dxa" w:w="4987"/>
            <w:vAlign w:val="top"/>
          </w:tcPr>
          <w:p>
            <w:pPr>
              <w:spacing w:after="20"/>
            </w:pPr>
            <w:r>
              <w:rPr>
                <w:sz w:val="18"/>
              </w:rPr>
              <w:t>17–23</w:t>
            </w:r>
          </w:p>
        </w:tc>
        <w:tc>
          <w:tcPr>
            <w:tcW w:type="dxa" w:w="4987"/>
            <w:vAlign w:val="top"/>
          </w:tcPr>
          <w:p>
            <w:pPr>
              <w:spacing w:after="20"/>
            </w:pPr>
            <w:r>
              <w:rPr>
                <w:sz w:val="18"/>
              </w:rPr>
              <w:t>Guided discovery: form. Provide three examples: “She used to have green hair.” “She didn’t use to have blonde hair.” “Did she use to have green hair?” Ask learners to circle the auxiliary and underline the base verb. Elicit patterns for affirmative, negative and question forms. Confirm and write: subject + used to + base verb; subject + didn’t use to + base verb; Did + subject + use to + base verb?</w:t>
            </w:r>
          </w:p>
        </w:tc>
        <w:tc>
          <w:tcPr>
            <w:tcW w:type="dxa" w:w="4987"/>
            <w:vAlign w:val="top"/>
          </w:tcPr>
          <w:p>
            <w:pPr>
              <w:spacing w:after="20"/>
            </w:pPr>
            <w:r>
              <w:rPr>
                <w:sz w:val="18"/>
              </w:rPr>
              <w:t>Compare the examples, notice used to versus use to after did/didn’t, and formulate the three sentence patterns with teacher guidance.</w:t>
            </w:r>
          </w:p>
        </w:tc>
      </w:tr>
      <w:tr>
        <w:tc>
          <w:tcPr>
            <w:tcW w:type="dxa" w:w="4987"/>
            <w:vAlign w:val="top"/>
          </w:tcPr>
          <w:p>
            <w:pPr>
              <w:spacing w:after="20"/>
            </w:pPr>
            <w:r>
              <w:rPr>
                <w:sz w:val="18"/>
              </w:rPr>
              <w:t>23–26</w:t>
            </w:r>
          </w:p>
        </w:tc>
        <w:tc>
          <w:tcPr>
            <w:tcW w:type="dxa" w:w="4987"/>
            <w:vAlign w:val="top"/>
          </w:tcPr>
          <w:p>
            <w:pPr>
              <w:spacing w:after="20"/>
            </w:pPr>
            <w:r>
              <w:rPr>
                <w:sz w:val="18"/>
              </w:rPr>
              <w:t>Pronunciation practice. Model “She used to have green hair.” Draw attention to the natural pronunciation of used to /ˈjuːstə/. Use choral and individual repetition, then substitution prompts (have long hair, wear bright clothes).</w:t>
            </w:r>
          </w:p>
        </w:tc>
        <w:tc>
          <w:tcPr>
            <w:tcW w:type="dxa" w:w="4987"/>
            <w:vAlign w:val="top"/>
          </w:tcPr>
          <w:p>
            <w:pPr>
              <w:spacing w:after="20"/>
            </w:pPr>
            <w:r>
              <w:rPr>
                <w:sz w:val="18"/>
              </w:rPr>
              <w:t>Repeat and practise the target structure; make short sentences from prompts with attention to pronunciation.</w:t>
            </w:r>
          </w:p>
        </w:tc>
      </w:tr>
      <w:tr>
        <w:tc>
          <w:tcPr>
            <w:tcW w:type="dxa" w:w="4987"/>
            <w:vAlign w:val="top"/>
          </w:tcPr>
          <w:p>
            <w:pPr>
              <w:spacing w:after="20"/>
            </w:pPr>
            <w:r>
              <w:rPr>
                <w:sz w:val="18"/>
              </w:rPr>
              <w:t>26–33</w:t>
            </w:r>
          </w:p>
        </w:tc>
        <w:tc>
          <w:tcPr>
            <w:tcW w:type="dxa" w:w="4987"/>
            <w:vAlign w:val="top"/>
          </w:tcPr>
          <w:p>
            <w:pPr>
              <w:spacing w:after="20"/>
            </w:pPr>
            <w:r>
              <w:rPr>
                <w:sz w:val="18"/>
              </w:rPr>
              <w:t>Controlled practice. Give a short worksheet: (1) She ___ (have) green hair. (2) She ___ (not / wear) this style before. (3) ___ she ___ (have) green hair? (4) Rewrite: “I played outside every day when I was younger.” → “I used to play outside every day.” Check in pairs, then elicit answers and explain common errors.</w:t>
            </w:r>
          </w:p>
        </w:tc>
        <w:tc>
          <w:tcPr>
            <w:tcW w:type="dxa" w:w="4987"/>
            <w:vAlign w:val="top"/>
          </w:tcPr>
          <w:p>
            <w:pPr>
              <w:spacing w:after="20"/>
            </w:pPr>
            <w:r>
              <w:rPr>
                <w:sz w:val="18"/>
              </w:rPr>
              <w:t>Complete the sentences (used to have; didn’t use to wear; Did / use to have), rewrite the past-habit sentence, compare answers and correct mistakes.</w:t>
            </w:r>
          </w:p>
        </w:tc>
      </w:tr>
      <w:tr>
        <w:tc>
          <w:tcPr>
            <w:tcW w:type="dxa" w:w="4987"/>
            <w:vAlign w:val="top"/>
          </w:tcPr>
          <w:p>
            <w:pPr>
              <w:spacing w:after="20"/>
            </w:pPr>
            <w:r>
              <w:rPr>
                <w:sz w:val="18"/>
              </w:rPr>
              <w:t>33–38</w:t>
            </w:r>
          </w:p>
        </w:tc>
        <w:tc>
          <w:tcPr>
            <w:tcW w:type="dxa" w:w="4987"/>
            <w:vAlign w:val="top"/>
          </w:tcPr>
          <w:p>
            <w:pPr>
              <w:spacing w:after="20"/>
            </w:pPr>
            <w:r>
              <w:rPr>
                <w:sz w:val="18"/>
              </w:rPr>
              <w:t>Freer speaking practice. Ask students to interview a partner: “What did you use to do after school?”, “Did you use to watch cartoons?”, “What didn’t you use to like?” Encourage at least two affirmative sentences, one negative and one question. Monitor without interrupting fluency.</w:t>
            </w:r>
          </w:p>
        </w:tc>
        <w:tc>
          <w:tcPr>
            <w:tcW w:type="dxa" w:w="4987"/>
            <w:vAlign w:val="top"/>
          </w:tcPr>
          <w:p>
            <w:pPr>
              <w:spacing w:after="20"/>
            </w:pPr>
            <w:r>
              <w:rPr>
                <w:sz w:val="18"/>
              </w:rPr>
              <w:t>Interview a partner about childhood habits, ask follow-up questions and report one interesting change using used to.</w:t>
            </w:r>
          </w:p>
        </w:tc>
      </w:tr>
      <w:tr>
        <w:tc>
          <w:tcPr>
            <w:tcW w:type="dxa" w:w="4987"/>
            <w:vAlign w:val="top"/>
          </w:tcPr>
          <w:p>
            <w:pPr>
              <w:spacing w:after="20"/>
            </w:pPr>
            <w:r>
              <w:rPr>
                <w:sz w:val="18"/>
              </w:rPr>
              <w:t>38–40</w:t>
            </w:r>
          </w:p>
        </w:tc>
        <w:tc>
          <w:tcPr>
            <w:tcW w:type="dxa" w:w="4987"/>
            <w:vAlign w:val="top"/>
          </w:tcPr>
          <w:p>
            <w:pPr>
              <w:spacing w:after="20"/>
            </w:pPr>
            <w:r>
              <w:rPr>
                <w:sz w:val="18"/>
              </w:rPr>
              <w:t>Feedback and reflection. Invite two students to share examples. Give brief feedback on meaning and form, especially didn’t use to and Did ... use to ...? Exit question: “Write one true sentence about your past and one question for a classmate.”</w:t>
            </w:r>
          </w:p>
        </w:tc>
        <w:tc>
          <w:tcPr>
            <w:tcW w:type="dxa" w:w="4987"/>
            <w:vAlign w:val="top"/>
          </w:tcPr>
          <w:p>
            <w:pPr>
              <w:spacing w:after="20"/>
            </w:pPr>
            <w:r>
              <w:rPr>
                <w:sz w:val="18"/>
              </w:rPr>
              <w:t>Share sentences, respond to feedback and write a short exit response demonstrating use of the target structure.</w:t>
            </w:r>
          </w:p>
        </w:tc>
      </w:tr>
    </w:tbl>
    <w:sectPr w:rsidR="00FC693F" w:rsidRPr="0006063C" w:rsidSect="00034616">
      <w:pgSz w:w="16834" w:h="11909" w:orient="landscape"/>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